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D2137"/>
          <w:sz w:val="32"/>
          <w:szCs w:val="32"/>
        </w:rPr>
        <w:t xml:space="preserve">Chiller Plant Standard Operating Procedure</w:t>
      </w:r>
    </w:p>
    <w:p>
      <w:pPr>
        <w:pBdr>
          <w:bottom w:val="single" w:color="E1F5EE" w:sz="8" w:space="8"/>
        </w:pBdr>
        <w:spacing w:after="240"/>
      </w:pPr>
      <w:r>
        <w:rPr>
          <w:i/>
          <w:iCs/>
          <w:color w:val="5A7184"/>
          <w:sz w:val="20"/>
          <w:szCs w:val="20"/>
        </w:rPr>
        <w:t xml:space="preserve">Sample SOP for chiller plant operation and maintenance — HVAC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Site / Building: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Asset Ref: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1. Purpose</w:t>
      </w:r>
    </w:p>
    <w:p>
      <w:pPr>
        <w:spacing w:after="160"/>
      </w:pPr>
      <w:r>
        <w:rPr>
          <w:color w:val="2C3E50"/>
          <w:sz w:val="21"/>
          <w:szCs w:val="21"/>
        </w:rPr>
        <w:t xml:space="preserve">This SOP defines the standard steps for safe start-up, operation, shutdown and routine monitoring of the chiller plant, ensuring consistent performance and preventing unplanned downtime.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2. Scope</w:t>
      </w:r>
    </w:p>
    <w:p>
      <w:pPr>
        <w:spacing w:after="160"/>
      </w:pPr>
      <w:r>
        <w:rPr>
          <w:color w:val="2C3E50"/>
          <w:sz w:val="21"/>
          <w:szCs w:val="21"/>
        </w:rPr>
        <w:t xml:space="preserve">Applies to all technicians and FM personnel responsible for chiller plant operation at this site, covering air-cooled and water-cooled chiller configurations.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3. Safety Precautions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Wear appropriate PPE — safety glasses, gloves, and hearing protection near running equipment.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Confirm lock-out/tag-out (LOTO) procedures before any electrical isolation work.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Do not operate the chiller if refrigerant leak is suspected — evacuate and ventilate the area first.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Refer to the manufacturer O&amp;M manual for model-specific safety interlocks.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4. Start-Up Procedure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Confirm all isolation valves on chilled water and condenser water circuits are open.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Verify condenser water pump (if water-cooled) is running and flow is confirmed.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Check oil level and refrigerant sight glass before starting compressor.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Start chiller via BMS or local panel; confirm compressor starts within expected amperage draw.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Monitor suction/discharge pressures during the first 15 minutes of operation.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5. Routine Monitoring (During Operation)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Record chilled water supply/return temperatures every shift.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Record suction and discharge pressures every shift.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Check for unusual noise, vibration, or refrigerant odour.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6. Shutdown Procedure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Initiate shutdown via BMS or local panel — allow pump-down cycle to complete.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Confirm compressor has stopped before isolating power, if isolation is required.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Record final readings and log any anomalies observed.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7. Records</w:t>
      </w:r>
    </w:p>
    <w:p>
      <w:pPr>
        <w:spacing w:after="160"/>
      </w:pPr>
      <w:r>
        <w:rPr>
          <w:color w:val="2C3E50"/>
          <w:sz w:val="21"/>
          <w:szCs w:val="21"/>
        </w:rPr>
        <w:t xml:space="preserve">All readings must be logged on the chiller plant daily log sheet and retained for a minimum of 12 months for audit purposes.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Sign-off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type="pct" w:w="3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Name</w:t>
            </w:r>
          </w:p>
        </w:tc>
        <w:tc>
          <w:tcPr>
            <w:tcW w:type="pct" w:w="2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Signature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Prepared by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Approved by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CE8" w:sz="4" w:space="6"/>
      </w:pBdr>
      <w:jc w:val="center"/>
    </w:pPr>
    <w:r>
      <w:rPr>
        <w:color w:val="5A7184"/>
        <w:sz w:val="16"/>
        <w:szCs w:val="16"/>
      </w:rPr>
      <w:t xml:space="preserve">Free MEP &amp; FM Resource  ·  </w:t>
    </w:r>
    <w:r>
      <w:rPr>
        <w:b/>
        <w:bCs/>
        <w:color w:val="1D9E75"/>
        <w:sz w:val="16"/>
        <w:szCs w:val="16"/>
      </w:rPr>
      <w:t xml:space="preserve">mepmasterguide.com</w:t>
    </w:r>
    <w:r>
      <w:rPr>
        <w:color w:val="5A7184"/>
        <w:sz w:val="16"/>
        <w:szCs w:val="16"/>
      </w:rPr>
      <w:t xml:space="preserve">  ·  Page </w:t>
    </w:r>
    <w:r>
      <w:rPr>
        <w:color w:val="5A7184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7184"/>
        <w:sz w:val="16"/>
        <w:szCs w:val="16"/>
      </w:rPr>
      <w:t xml:space="preserve"> of </w:t>
    </w:r>
    <w:r>
      <w:rPr>
        <w:color w:val="5A7184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/>
        <w:left w:val="none"/>
        <w:bottom w:val="single" w:color="1D9E75" w:sz="6"/>
        <w:right w:val="none"/>
        <w:insideH w:val="none"/>
        <w:insideV w:val="none"/>
      </w:tblBorders>
    </w:tblPr>
    <w:tblGrid>
      <w:gridCol w:w="100"/>
      <w:gridCol w:w="100"/>
    </w:tblGrid>
    <w:tr>
      <w:tc>
        <w:tcPr>
          <w:tcW w:type="pct" w:w="60%"/>
          <w:tcBorders>
            <w:bottom w:val="none"/>
          </w:tcBorders>
          <w:vAlign w:val="center"/>
        </w:tcPr>
        <w:p>
          <w:r>
            <w:rPr>
              <w:b/>
              <w:bCs/>
              <w:color w:val="FFFFFF"/>
              <w:sz w:val="20"/>
              <w:szCs w:val="20"/>
              <w:shd w:fill="1D9E75" w:val="clear"/>
            </w:rPr>
            <w:t xml:space="preserve">M </w:t>
          </w:r>
          <w:r>
            <w:rPr>
              <w:b/>
              <w:bCs/>
              <w:color w:val="0D2137"/>
              <w:sz w:val="22"/>
              <w:szCs w:val="22"/>
            </w:rPr>
            <w:t xml:space="preserve">  MEP </w:t>
          </w:r>
          <w:r>
            <w:rPr>
              <w:b/>
              <w:bCs/>
              <w:color w:val="1D9E75"/>
              <w:sz w:val="22"/>
              <w:szCs w:val="22"/>
            </w:rPr>
            <w:t xml:space="preserve">Master</w:t>
          </w:r>
          <w:r>
            <w:rPr>
              <w:b/>
              <w:bCs/>
              <w:color w:val="0D2137"/>
              <w:sz w:val="22"/>
              <w:szCs w:val="22"/>
            </w:rPr>
            <w:t xml:space="preserve"> Guide</w:t>
          </w:r>
        </w:p>
      </w:tc>
      <w:tc>
        <w:tcPr>
          <w:tcW w:type="pct" w:w="40%"/>
          <w:tcBorders>
            <w:bottom w:val="none"/>
          </w:tcBorders>
          <w:vAlign w:val="center"/>
        </w:tcPr>
        <w:p>
          <w:pPr>
            <w:jc w:val="right"/>
          </w:pPr>
          <w:r>
            <w:rPr>
              <w:color w:val="5A7184"/>
              <w:sz w:val="18"/>
              <w:szCs w:val="18"/>
            </w:rPr>
            <w:t xml:space="preserve">mepmasterguide.com</w:t>
          </w:r>
        </w:p>
      </w:tc>
    </w:tr>
  </w:tbl>
  <w:p>
    <w:pPr>
      <w:spacing w:after="1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2026-07-25T10:38:42.495Z</dcterms:created>
  <dcterms:modified xsi:type="dcterms:W3CDTF">2026-07-25T10:38:42.495Z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